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86" w:rsidRPr="005E3D70" w:rsidRDefault="00034B86" w:rsidP="006079E3">
      <w:pPr>
        <w:keepLines/>
        <w:numPr>
          <w:ilvl w:val="0"/>
          <w:numId w:val="1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3D70">
        <w:rPr>
          <w:rFonts w:ascii="Arial" w:hAnsi="Arial" w:cs="Arial"/>
          <w:sz w:val="22"/>
          <w:szCs w:val="22"/>
        </w:rPr>
        <w:t>The</w:t>
      </w:r>
      <w:r w:rsidRPr="005E3D70">
        <w:rPr>
          <w:rFonts w:ascii="Arial" w:hAnsi="Arial" w:cs="Arial"/>
          <w:kern w:val="20"/>
          <w:sz w:val="22"/>
          <w:szCs w:val="22"/>
        </w:rPr>
        <w:t xml:space="preserve"> ULDA Act provides for particular parts of </w:t>
      </w:r>
      <w:smartTag w:uri="urn:schemas-microsoft-com:office:smarttags" w:element="State">
        <w:smartTag w:uri="urn:schemas-microsoft-com:office:smarttags" w:element="place">
          <w:r w:rsidRPr="005E3D70">
            <w:rPr>
              <w:rFonts w:ascii="Arial" w:hAnsi="Arial" w:cs="Arial"/>
              <w:kern w:val="20"/>
              <w:sz w:val="22"/>
              <w:szCs w:val="22"/>
            </w:rPr>
            <w:t>Queensland</w:t>
          </w:r>
        </w:smartTag>
      </w:smartTag>
      <w:r w:rsidRPr="005E3D70">
        <w:rPr>
          <w:rFonts w:ascii="Arial" w:hAnsi="Arial" w:cs="Arial"/>
          <w:kern w:val="20"/>
          <w:sz w:val="22"/>
          <w:szCs w:val="22"/>
        </w:rPr>
        <w:t xml:space="preserve"> to be declared as Urban Development Areas and establishes the Urban Land Development Authority </w:t>
      </w:r>
      <w:r w:rsidR="00083FE3" w:rsidRPr="005E3D70">
        <w:rPr>
          <w:rFonts w:ascii="Arial" w:hAnsi="Arial" w:cs="Arial"/>
          <w:kern w:val="20"/>
          <w:sz w:val="22"/>
          <w:szCs w:val="22"/>
        </w:rPr>
        <w:t>to plan, carry out, promote or</w:t>
      </w:r>
      <w:r w:rsidRPr="005E3D70">
        <w:rPr>
          <w:rFonts w:ascii="Arial" w:hAnsi="Arial" w:cs="Arial"/>
          <w:kern w:val="20"/>
          <w:sz w:val="22"/>
          <w:szCs w:val="22"/>
        </w:rPr>
        <w:t xml:space="preserve"> coordinate and control the development of land in those areas.</w:t>
      </w:r>
    </w:p>
    <w:p w:rsidR="00776DA7" w:rsidRPr="005E3D70" w:rsidRDefault="00034B86" w:rsidP="006079E3">
      <w:pPr>
        <w:keepLines/>
        <w:numPr>
          <w:ilvl w:val="0"/>
          <w:numId w:val="1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3D70">
        <w:rPr>
          <w:rFonts w:ascii="Arial" w:hAnsi="Arial" w:cs="Arial"/>
          <w:kern w:val="20"/>
          <w:sz w:val="22"/>
          <w:szCs w:val="22"/>
        </w:rPr>
        <w:t xml:space="preserve">The </w:t>
      </w:r>
      <w:r w:rsidR="00F436FE" w:rsidRPr="005E3D70">
        <w:rPr>
          <w:rFonts w:ascii="Arial" w:hAnsi="Arial" w:cs="Arial"/>
          <w:kern w:val="20"/>
          <w:sz w:val="22"/>
          <w:szCs w:val="22"/>
        </w:rPr>
        <w:t>two</w:t>
      </w:r>
      <w:r w:rsidR="00253BF2" w:rsidRPr="005E3D70">
        <w:rPr>
          <w:rFonts w:ascii="Arial" w:hAnsi="Arial" w:cs="Arial"/>
          <w:kern w:val="20"/>
          <w:sz w:val="22"/>
          <w:szCs w:val="22"/>
        </w:rPr>
        <w:t xml:space="preserve"> </w:t>
      </w:r>
      <w:r w:rsidRPr="005E3D70">
        <w:rPr>
          <w:rFonts w:ascii="Arial" w:hAnsi="Arial" w:cs="Arial"/>
          <w:kern w:val="20"/>
          <w:sz w:val="22"/>
          <w:szCs w:val="22"/>
        </w:rPr>
        <w:t>U</w:t>
      </w:r>
      <w:r w:rsidR="005E3D70" w:rsidRPr="005E3D70">
        <w:rPr>
          <w:rFonts w:ascii="Arial" w:hAnsi="Arial" w:cs="Arial"/>
          <w:kern w:val="20"/>
          <w:sz w:val="22"/>
          <w:szCs w:val="22"/>
        </w:rPr>
        <w:t xml:space="preserve">rban Development Areas </w:t>
      </w:r>
      <w:r w:rsidRPr="005E3D70">
        <w:rPr>
          <w:rFonts w:ascii="Arial" w:hAnsi="Arial" w:cs="Arial"/>
          <w:kern w:val="20"/>
          <w:sz w:val="22"/>
          <w:szCs w:val="22"/>
        </w:rPr>
        <w:t xml:space="preserve">of </w:t>
      </w:r>
      <w:r w:rsidR="00A97A9E" w:rsidRPr="005E3D70">
        <w:rPr>
          <w:rFonts w:ascii="Arial" w:hAnsi="Arial" w:cs="Arial"/>
          <w:kern w:val="20"/>
          <w:sz w:val="22"/>
          <w:szCs w:val="22"/>
        </w:rPr>
        <w:t>Blackwater and Moranbah</w:t>
      </w:r>
      <w:r w:rsidRPr="005E3D70">
        <w:rPr>
          <w:rFonts w:ascii="Arial" w:hAnsi="Arial" w:cs="Arial"/>
          <w:kern w:val="20"/>
          <w:sz w:val="22"/>
          <w:szCs w:val="22"/>
        </w:rPr>
        <w:t xml:space="preserve"> fall under the </w:t>
      </w:r>
      <w:r w:rsidR="00776DA7" w:rsidRPr="005E3D70">
        <w:rPr>
          <w:rFonts w:ascii="Arial" w:hAnsi="Arial" w:cs="Arial"/>
          <w:kern w:val="20"/>
          <w:sz w:val="22"/>
          <w:szCs w:val="22"/>
        </w:rPr>
        <w:t>resource towns housing affordability program</w:t>
      </w:r>
      <w:r w:rsidRPr="005E3D70">
        <w:rPr>
          <w:rFonts w:ascii="Arial" w:hAnsi="Arial" w:cs="Arial"/>
          <w:kern w:val="20"/>
          <w:sz w:val="22"/>
          <w:szCs w:val="22"/>
        </w:rPr>
        <w:t xml:space="preserve">. </w:t>
      </w:r>
    </w:p>
    <w:p w:rsidR="00034B86" w:rsidRPr="005E3D70" w:rsidRDefault="00034B86" w:rsidP="006079E3">
      <w:pPr>
        <w:keepLines/>
        <w:numPr>
          <w:ilvl w:val="0"/>
          <w:numId w:val="1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3D70">
        <w:rPr>
          <w:rFonts w:ascii="Arial" w:hAnsi="Arial" w:cs="Arial"/>
          <w:kern w:val="20"/>
          <w:sz w:val="22"/>
          <w:szCs w:val="22"/>
        </w:rPr>
        <w:t>The aim</w:t>
      </w:r>
      <w:r w:rsidR="00A97A9E" w:rsidRPr="005E3D70">
        <w:rPr>
          <w:rFonts w:ascii="Arial" w:hAnsi="Arial" w:cs="Arial"/>
          <w:kern w:val="20"/>
          <w:sz w:val="22"/>
          <w:szCs w:val="22"/>
        </w:rPr>
        <w:t xml:space="preserve"> of</w:t>
      </w:r>
      <w:r w:rsidRPr="005E3D70">
        <w:rPr>
          <w:rFonts w:ascii="Arial" w:hAnsi="Arial" w:cs="Arial"/>
          <w:kern w:val="20"/>
          <w:sz w:val="22"/>
          <w:szCs w:val="22"/>
        </w:rPr>
        <w:t xml:space="preserve"> </w:t>
      </w:r>
      <w:r w:rsidR="00776DA7" w:rsidRPr="005E3D70">
        <w:rPr>
          <w:rFonts w:ascii="Arial" w:hAnsi="Arial" w:cs="Arial"/>
          <w:kern w:val="20"/>
          <w:sz w:val="22"/>
          <w:szCs w:val="22"/>
        </w:rPr>
        <w:t>th</w:t>
      </w:r>
      <w:r w:rsidR="005226BC" w:rsidRPr="005E3D70">
        <w:rPr>
          <w:rFonts w:ascii="Arial" w:hAnsi="Arial" w:cs="Arial"/>
          <w:kern w:val="20"/>
          <w:sz w:val="22"/>
          <w:szCs w:val="22"/>
        </w:rPr>
        <w:t>is</w:t>
      </w:r>
      <w:r w:rsidRPr="005E3D70">
        <w:rPr>
          <w:rFonts w:ascii="Arial" w:hAnsi="Arial" w:cs="Arial"/>
          <w:kern w:val="20"/>
          <w:sz w:val="22"/>
          <w:szCs w:val="22"/>
        </w:rPr>
        <w:t xml:space="preserve"> program is </w:t>
      </w:r>
      <w:r w:rsidR="005226BC" w:rsidRPr="005E3D70">
        <w:rPr>
          <w:rFonts w:ascii="Arial" w:hAnsi="Arial" w:cs="Arial"/>
          <w:color w:val="auto"/>
          <w:sz w:val="22"/>
          <w:szCs w:val="22"/>
        </w:rPr>
        <w:t>to provide timely development of land and to provide key worker housing in those areas experiencing significant mining activity.</w:t>
      </w:r>
      <w:r w:rsidR="005226BC" w:rsidRPr="005E3D70">
        <w:rPr>
          <w:color w:val="auto"/>
          <w:sz w:val="22"/>
          <w:szCs w:val="22"/>
        </w:rPr>
        <w:t xml:space="preserve"> </w:t>
      </w:r>
    </w:p>
    <w:p w:rsidR="00253BF2" w:rsidRDefault="00C853ED" w:rsidP="006079E3">
      <w:pPr>
        <w:keepLines/>
        <w:numPr>
          <w:ilvl w:val="0"/>
          <w:numId w:val="1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3D70">
        <w:rPr>
          <w:rFonts w:ascii="Arial" w:hAnsi="Arial" w:cs="Arial"/>
          <w:sz w:val="22"/>
          <w:szCs w:val="22"/>
        </w:rPr>
        <w:t>T</w:t>
      </w:r>
      <w:r w:rsidR="00253BF2" w:rsidRPr="005E3D70">
        <w:rPr>
          <w:rFonts w:ascii="Arial" w:hAnsi="Arial" w:cs="Arial"/>
          <w:sz w:val="22"/>
          <w:szCs w:val="22"/>
        </w:rPr>
        <w:t xml:space="preserve">he </w:t>
      </w:r>
      <w:r w:rsidR="005E3D70" w:rsidRPr="005E3D70">
        <w:rPr>
          <w:rFonts w:ascii="Arial" w:hAnsi="Arial" w:cs="Arial"/>
          <w:sz w:val="22"/>
          <w:szCs w:val="22"/>
        </w:rPr>
        <w:t>development s</w:t>
      </w:r>
      <w:r w:rsidR="00253BF2" w:rsidRPr="005E3D70">
        <w:rPr>
          <w:rFonts w:ascii="Arial" w:hAnsi="Arial" w:cs="Arial"/>
          <w:sz w:val="22"/>
          <w:szCs w:val="22"/>
        </w:rPr>
        <w:t xml:space="preserve">chemes were prepared in accordance with the provisions </w:t>
      </w:r>
      <w:r w:rsidR="00083FE3" w:rsidRPr="005E3D70">
        <w:rPr>
          <w:rFonts w:ascii="Arial" w:hAnsi="Arial" w:cs="Arial"/>
          <w:sz w:val="22"/>
          <w:szCs w:val="22"/>
        </w:rPr>
        <w:t>of</w:t>
      </w:r>
      <w:r w:rsidR="005E3D70" w:rsidRPr="005E3D70">
        <w:rPr>
          <w:rFonts w:ascii="Arial" w:hAnsi="Arial" w:cs="Arial"/>
          <w:sz w:val="22"/>
          <w:szCs w:val="22"/>
        </w:rPr>
        <w:t>,</w:t>
      </w:r>
      <w:r w:rsidR="00083FE3" w:rsidRPr="005E3D70">
        <w:rPr>
          <w:rFonts w:ascii="Arial" w:hAnsi="Arial" w:cs="Arial"/>
          <w:sz w:val="22"/>
          <w:szCs w:val="22"/>
        </w:rPr>
        <w:t xml:space="preserve"> </w:t>
      </w:r>
      <w:r w:rsidR="00253BF2" w:rsidRPr="005E3D70">
        <w:rPr>
          <w:rFonts w:ascii="Arial" w:hAnsi="Arial" w:cs="Arial"/>
          <w:sz w:val="22"/>
          <w:szCs w:val="22"/>
        </w:rPr>
        <w:t>and are consistent with</w:t>
      </w:r>
      <w:r w:rsidR="005E3D70" w:rsidRPr="005E3D70">
        <w:rPr>
          <w:rFonts w:ascii="Arial" w:hAnsi="Arial" w:cs="Arial"/>
          <w:sz w:val="22"/>
          <w:szCs w:val="22"/>
        </w:rPr>
        <w:t>,</w:t>
      </w:r>
      <w:r w:rsidR="00253BF2" w:rsidRPr="005E3D70">
        <w:rPr>
          <w:rFonts w:ascii="Arial" w:hAnsi="Arial" w:cs="Arial"/>
          <w:sz w:val="22"/>
          <w:szCs w:val="22"/>
        </w:rPr>
        <w:t xml:space="preserve"> the purpose of the ULDA Act as well as the Government objectives set at the time of declaration.  </w:t>
      </w:r>
      <w:r w:rsidRPr="005E3D70">
        <w:rPr>
          <w:rFonts w:ascii="Arial" w:hAnsi="Arial" w:cs="Arial"/>
          <w:sz w:val="22"/>
          <w:szCs w:val="22"/>
        </w:rPr>
        <w:t xml:space="preserve">The </w:t>
      </w:r>
      <w:r w:rsidR="00083FE3" w:rsidRPr="005E3D70">
        <w:rPr>
          <w:rFonts w:ascii="Arial" w:hAnsi="Arial" w:cs="Arial"/>
          <w:sz w:val="22"/>
          <w:szCs w:val="22"/>
        </w:rPr>
        <w:t xml:space="preserve">development </w:t>
      </w:r>
      <w:r w:rsidRPr="005E3D70">
        <w:rPr>
          <w:rFonts w:ascii="Arial" w:hAnsi="Arial" w:cs="Arial"/>
          <w:sz w:val="22"/>
          <w:szCs w:val="22"/>
        </w:rPr>
        <w:t>schemes adequately address the issues raised through consultation.</w:t>
      </w:r>
    </w:p>
    <w:p w:rsidR="00C63FF7" w:rsidRPr="00C63FF7" w:rsidRDefault="00C63FF7" w:rsidP="006079E3">
      <w:pPr>
        <w:keepLines/>
        <w:numPr>
          <w:ilvl w:val="0"/>
          <w:numId w:val="16"/>
        </w:numPr>
        <w:tabs>
          <w:tab w:val="num" w:pos="709"/>
        </w:tabs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 w:rsidRPr="00C63FF7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Pr="005E3D70">
        <w:rPr>
          <w:rFonts w:ascii="Arial" w:hAnsi="Arial" w:cs="Arial"/>
          <w:color w:val="auto"/>
          <w:sz w:val="22"/>
          <w:szCs w:val="22"/>
        </w:rPr>
        <w:t xml:space="preserve"> </w:t>
      </w:r>
      <w:r w:rsidR="00C23011">
        <w:rPr>
          <w:rFonts w:ascii="Arial" w:hAnsi="Arial" w:cs="Arial"/>
          <w:color w:val="auto"/>
          <w:sz w:val="22"/>
          <w:szCs w:val="22"/>
        </w:rPr>
        <w:t xml:space="preserve">the </w:t>
      </w:r>
      <w:r w:rsidRPr="005E3D70">
        <w:rPr>
          <w:rFonts w:ascii="Arial" w:hAnsi="Arial" w:cs="Arial"/>
          <w:color w:val="auto"/>
          <w:sz w:val="22"/>
          <w:szCs w:val="22"/>
        </w:rPr>
        <w:t xml:space="preserve">Development Schemes for the </w:t>
      </w:r>
      <w:r w:rsidRPr="005E3D70">
        <w:rPr>
          <w:rFonts w:ascii="Arial" w:hAnsi="Arial" w:cs="Arial"/>
          <w:sz w:val="22"/>
          <w:szCs w:val="22"/>
        </w:rPr>
        <w:t>Blackwater Urban Development Area and Moranbah Urban Development Area</w:t>
      </w:r>
      <w:r w:rsidR="00C23011">
        <w:rPr>
          <w:rFonts w:ascii="Arial" w:hAnsi="Arial" w:cs="Arial"/>
          <w:sz w:val="22"/>
          <w:szCs w:val="22"/>
        </w:rPr>
        <w:t xml:space="preserve"> be recommended to the Governor in Council for approval</w:t>
      </w:r>
      <w:r w:rsidRPr="005E3D70">
        <w:rPr>
          <w:rFonts w:ascii="Arial" w:hAnsi="Arial" w:cs="Arial"/>
          <w:sz w:val="22"/>
          <w:szCs w:val="22"/>
        </w:rPr>
        <w:t xml:space="preserve">. </w:t>
      </w:r>
    </w:p>
    <w:p w:rsidR="00253BF2" w:rsidRPr="005E3D70" w:rsidRDefault="00253BF2" w:rsidP="006079E3">
      <w:pPr>
        <w:keepLines/>
        <w:numPr>
          <w:ilvl w:val="0"/>
          <w:numId w:val="16"/>
        </w:numPr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5E3D7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53BF2" w:rsidRPr="005E3D70" w:rsidRDefault="00677AC5" w:rsidP="006079E3">
      <w:pPr>
        <w:numPr>
          <w:ilvl w:val="0"/>
          <w:numId w:val="19"/>
        </w:numPr>
        <w:tabs>
          <w:tab w:val="clear" w:pos="-6"/>
          <w:tab w:val="num" w:pos="851"/>
        </w:tabs>
        <w:autoSpaceDE w:val="0"/>
        <w:autoSpaceDN w:val="0"/>
        <w:adjustRightInd w:val="0"/>
        <w:spacing w:before="120"/>
        <w:ind w:left="709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A97A9E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Blackwater</w:t>
        </w:r>
        <w:r w:rsidR="000E32E5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Urban Development Area Development Scheme 201</w:t>
        </w:r>
        <w:r w:rsidR="00A97A9E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</w:hyperlink>
    </w:p>
    <w:p w:rsidR="00135732" w:rsidRPr="005E3D70" w:rsidRDefault="00677AC5" w:rsidP="006079E3">
      <w:pPr>
        <w:numPr>
          <w:ilvl w:val="0"/>
          <w:numId w:val="19"/>
        </w:numPr>
        <w:tabs>
          <w:tab w:val="clear" w:pos="-6"/>
          <w:tab w:val="num" w:pos="851"/>
        </w:tabs>
        <w:autoSpaceDE w:val="0"/>
        <w:autoSpaceDN w:val="0"/>
        <w:adjustRightInd w:val="0"/>
        <w:spacing w:before="120"/>
        <w:ind w:left="709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A97A9E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Moranbah</w:t>
        </w:r>
        <w:r w:rsidR="000E32E5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Urban Development Area Development Scheme 201</w:t>
        </w:r>
        <w:r w:rsidR="00A97A9E" w:rsidRPr="006F7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</w:hyperlink>
    </w:p>
    <w:sectPr w:rsidR="00135732" w:rsidRPr="005E3D70" w:rsidSect="00763798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92" w:rsidRDefault="00046392">
      <w:r>
        <w:separator/>
      </w:r>
    </w:p>
  </w:endnote>
  <w:endnote w:type="continuationSeparator" w:id="0">
    <w:p w:rsidR="00046392" w:rsidRDefault="000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1141E1" w:rsidRDefault="00417AF6" w:rsidP="0009669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92" w:rsidRDefault="00046392">
      <w:r>
        <w:separator/>
      </w:r>
    </w:p>
  </w:footnote>
  <w:footnote w:type="continuationSeparator" w:id="0">
    <w:p w:rsidR="00046392" w:rsidRDefault="0004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72088D" w:rsidRDefault="00316996" w:rsidP="00356B43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AF6" w:rsidRPr="000400F9">
      <w:rPr>
        <w:rFonts w:ascii="Arial" w:hAnsi="Arial" w:cs="Arial"/>
        <w:b/>
        <w:sz w:val="22"/>
        <w:szCs w:val="22"/>
        <w:u w:val="single"/>
      </w:rPr>
      <w:t>Cabinet –</w:t>
    </w:r>
    <w:r w:rsidR="00417AF6">
      <w:rPr>
        <w:rFonts w:ascii="Arial" w:hAnsi="Arial" w:cs="Arial"/>
        <w:b/>
        <w:sz w:val="22"/>
        <w:szCs w:val="22"/>
        <w:u w:val="single"/>
      </w:rPr>
      <w:t xml:space="preserve"> November 2009 </w:t>
    </w:r>
    <w:r w:rsidR="00417AF6" w:rsidRPr="0072088D">
      <w:rPr>
        <w:rFonts w:ascii="Arial" w:hAnsi="Arial" w:cs="Arial"/>
        <w:b/>
        <w:sz w:val="22"/>
        <w:szCs w:val="22"/>
      </w:rPr>
      <w:t xml:space="preserve">    </w:t>
    </w:r>
    <w:r w:rsidR="00417AF6" w:rsidRPr="0072088D">
      <w:rPr>
        <w:rFonts w:ascii="Arial" w:hAnsi="Arial" w:cs="Arial"/>
        <w:b/>
        <w:sz w:val="22"/>
        <w:szCs w:val="22"/>
      </w:rPr>
      <w:tab/>
      <w:t xml:space="preserve">ATTACHMENT </w:t>
    </w:r>
    <w:r w:rsidR="00417AF6">
      <w:rPr>
        <w:rFonts w:ascii="Arial" w:hAnsi="Arial" w:cs="Arial"/>
        <w:b/>
        <w:sz w:val="22"/>
        <w:szCs w:val="22"/>
      </w:rPr>
      <w:t>7</w:t>
    </w:r>
  </w:p>
  <w:p w:rsidR="00417AF6" w:rsidRPr="00BD3E86" w:rsidRDefault="00417AF6" w:rsidP="00356B43">
    <w:pPr>
      <w:keepNext/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BD3E86">
      <w:rPr>
        <w:rFonts w:ascii="Arial" w:hAnsi="Arial" w:cs="Arial"/>
        <w:b/>
        <w:sz w:val="22"/>
        <w:szCs w:val="22"/>
        <w:u w:val="single"/>
      </w:rPr>
      <w:t>Transit Oriented Development Implementation Initiatives</w:t>
    </w:r>
  </w:p>
  <w:p w:rsidR="00417AF6" w:rsidRDefault="00417AF6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 &amp; Minister for Transport</w:t>
    </w:r>
  </w:p>
  <w:p w:rsidR="00417AF6" w:rsidRPr="00F10DF9" w:rsidRDefault="00417AF6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417AF6" w:rsidRDefault="00316996" w:rsidP="005E3D70">
    <w:pPr>
      <w:pStyle w:val="Header"/>
      <w:tabs>
        <w:tab w:val="clear" w:pos="8306"/>
        <w:tab w:val="right" w:pos="9000"/>
      </w:tabs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AF6" w:rsidRPr="00417AF6">
      <w:rPr>
        <w:rFonts w:ascii="Arial" w:hAnsi="Arial" w:cs="Arial"/>
        <w:b/>
        <w:sz w:val="22"/>
        <w:szCs w:val="22"/>
        <w:u w:val="single"/>
      </w:rPr>
      <w:t>Cabinet – July 2011</w:t>
    </w:r>
  </w:p>
  <w:p w:rsidR="003B1779" w:rsidRPr="003B1779" w:rsidRDefault="003B1779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B1779">
      <w:rPr>
        <w:rFonts w:ascii="Arial" w:hAnsi="Arial" w:cs="Arial"/>
        <w:b/>
        <w:sz w:val="22"/>
        <w:szCs w:val="22"/>
        <w:u w:val="single"/>
      </w:rPr>
      <w:t xml:space="preserve">Approval of Development Schemes for Blackwater and Moranbah Urban Development Areas </w:t>
    </w:r>
  </w:p>
  <w:p w:rsidR="00417AF6" w:rsidRPr="007811D1" w:rsidRDefault="00417AF6" w:rsidP="006079E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7811D1">
      <w:rPr>
        <w:rFonts w:ascii="Arial" w:hAnsi="Arial" w:cs="Arial"/>
        <w:b/>
        <w:sz w:val="22"/>
        <w:szCs w:val="22"/>
        <w:u w:val="single"/>
      </w:rPr>
      <w:t>Deputy Premier</w:t>
    </w:r>
    <w:r w:rsidR="005E3D70">
      <w:rPr>
        <w:rFonts w:ascii="Arial" w:hAnsi="Arial" w:cs="Arial"/>
        <w:b/>
        <w:sz w:val="22"/>
        <w:szCs w:val="22"/>
        <w:u w:val="single"/>
      </w:rPr>
      <w:t xml:space="preserve"> and</w:t>
    </w:r>
    <w:r w:rsidRPr="007811D1">
      <w:rPr>
        <w:rFonts w:ascii="Arial" w:hAnsi="Arial" w:cs="Arial"/>
        <w:b/>
        <w:sz w:val="22"/>
        <w:szCs w:val="22"/>
        <w:u w:val="single"/>
      </w:rPr>
      <w:t xml:space="preserve"> Attorney-General, Minister for Local Government and Special Minister of State</w:t>
    </w:r>
  </w:p>
  <w:p w:rsidR="00417AF6" w:rsidRPr="00F10DF9" w:rsidRDefault="00417AF6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17C"/>
    <w:multiLevelType w:val="hybridMultilevel"/>
    <w:tmpl w:val="73086700"/>
    <w:lvl w:ilvl="0" w:tplc="F87E9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5E91"/>
    <w:multiLevelType w:val="hybridMultilevel"/>
    <w:tmpl w:val="4612A74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53744"/>
    <w:multiLevelType w:val="hybridMultilevel"/>
    <w:tmpl w:val="CE284952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9273E8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DE79E2"/>
    <w:multiLevelType w:val="hybridMultilevel"/>
    <w:tmpl w:val="61D81BD4"/>
    <w:lvl w:ilvl="0" w:tplc="0382E0E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E05BCB"/>
    <w:multiLevelType w:val="hybridMultilevel"/>
    <w:tmpl w:val="CC4E78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8014C"/>
    <w:multiLevelType w:val="multilevel"/>
    <w:tmpl w:val="C8366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9D14AF8"/>
    <w:multiLevelType w:val="multilevel"/>
    <w:tmpl w:val="FACC03D4"/>
    <w:lvl w:ilvl="0">
      <w:start w:val="1"/>
      <w:numFmt w:val="bullet"/>
      <w:pStyle w:val="MR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MRBulle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MRBullet3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041"/>
        </w:tabs>
        <w:ind w:left="5041" w:hanging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761"/>
        </w:tabs>
        <w:ind w:left="5761" w:hanging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481"/>
        </w:tabs>
        <w:ind w:left="6481" w:hanging="720"/>
      </w:pPr>
      <w:rPr>
        <w:rFonts w:cs="Times New Roman" w:hint="default"/>
      </w:rPr>
    </w:lvl>
  </w:abstractNum>
  <w:abstractNum w:abstractNumId="8" w15:restartNumberingAfterBreak="0">
    <w:nsid w:val="506C0388"/>
    <w:multiLevelType w:val="hybridMultilevel"/>
    <w:tmpl w:val="6F00C996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3CFD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C274A"/>
    <w:multiLevelType w:val="hybridMultilevel"/>
    <w:tmpl w:val="F91C3CC0"/>
    <w:lvl w:ilvl="0" w:tplc="02CC8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AD6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5067"/>
    <w:multiLevelType w:val="multilevel"/>
    <w:tmpl w:val="4612A7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025E0"/>
    <w:multiLevelType w:val="hybridMultilevel"/>
    <w:tmpl w:val="891457F4"/>
    <w:lvl w:ilvl="0" w:tplc="0DE0A1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DEE6C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7C98"/>
    <w:multiLevelType w:val="hybridMultilevel"/>
    <w:tmpl w:val="546E6C82"/>
    <w:lvl w:ilvl="0" w:tplc="A1BE7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F174F54"/>
    <w:multiLevelType w:val="hybridMultilevel"/>
    <w:tmpl w:val="2F342F8C"/>
    <w:lvl w:ilvl="0" w:tplc="AC6A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C0F5C"/>
    <w:multiLevelType w:val="hybridMultilevel"/>
    <w:tmpl w:val="EA9015A6"/>
    <w:lvl w:ilvl="0" w:tplc="1AAA7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4382"/>
    <w:multiLevelType w:val="hybridMultilevel"/>
    <w:tmpl w:val="58E846B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04EC8"/>
    <w:multiLevelType w:val="hybridMultilevel"/>
    <w:tmpl w:val="1A84B2F2"/>
    <w:lvl w:ilvl="0" w:tplc="AC6AD6E8">
      <w:start w:val="1"/>
      <w:numFmt w:val="bullet"/>
      <w:lvlText w:val=""/>
      <w:lvlJc w:val="left"/>
      <w:pPr>
        <w:tabs>
          <w:tab w:val="num" w:pos="-6"/>
        </w:tabs>
        <w:ind w:left="-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18" w15:restartNumberingAfterBreak="0">
    <w:nsid w:val="7DD0587D"/>
    <w:multiLevelType w:val="hybridMultilevel"/>
    <w:tmpl w:val="EE5AAC76"/>
    <w:lvl w:ilvl="0" w:tplc="2C900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F87"/>
    <w:multiLevelType w:val="hybridMultilevel"/>
    <w:tmpl w:val="C8366C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273E8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0"/>
    <w:rsid w:val="00002F29"/>
    <w:rsid w:val="0001362D"/>
    <w:rsid w:val="00023E85"/>
    <w:rsid w:val="00034B86"/>
    <w:rsid w:val="00046392"/>
    <w:rsid w:val="00052B5A"/>
    <w:rsid w:val="000532C2"/>
    <w:rsid w:val="00053559"/>
    <w:rsid w:val="000558AA"/>
    <w:rsid w:val="00083FE3"/>
    <w:rsid w:val="00095391"/>
    <w:rsid w:val="00096690"/>
    <w:rsid w:val="000B47BA"/>
    <w:rsid w:val="000C7595"/>
    <w:rsid w:val="000E32E5"/>
    <w:rsid w:val="000E7F59"/>
    <w:rsid w:val="000F303C"/>
    <w:rsid w:val="00102CCC"/>
    <w:rsid w:val="00135732"/>
    <w:rsid w:val="0013713B"/>
    <w:rsid w:val="00155F60"/>
    <w:rsid w:val="0016260E"/>
    <w:rsid w:val="00170202"/>
    <w:rsid w:val="00183B13"/>
    <w:rsid w:val="00186F81"/>
    <w:rsid w:val="00191181"/>
    <w:rsid w:val="0019774B"/>
    <w:rsid w:val="001A6F16"/>
    <w:rsid w:val="001B2AE7"/>
    <w:rsid w:val="001E2C4F"/>
    <w:rsid w:val="001F035E"/>
    <w:rsid w:val="002314FB"/>
    <w:rsid w:val="00237B5D"/>
    <w:rsid w:val="00242ABB"/>
    <w:rsid w:val="00253BF2"/>
    <w:rsid w:val="002B2B69"/>
    <w:rsid w:val="002C2865"/>
    <w:rsid w:val="002D393D"/>
    <w:rsid w:val="002F4C88"/>
    <w:rsid w:val="003078AD"/>
    <w:rsid w:val="00316996"/>
    <w:rsid w:val="00345322"/>
    <w:rsid w:val="00356B43"/>
    <w:rsid w:val="003B1779"/>
    <w:rsid w:val="00417AF6"/>
    <w:rsid w:val="00441366"/>
    <w:rsid w:val="004467FD"/>
    <w:rsid w:val="0048084C"/>
    <w:rsid w:val="004A4E55"/>
    <w:rsid w:val="004C06CC"/>
    <w:rsid w:val="004E493A"/>
    <w:rsid w:val="00505062"/>
    <w:rsid w:val="005226BC"/>
    <w:rsid w:val="00552A02"/>
    <w:rsid w:val="005B150F"/>
    <w:rsid w:val="005E3D70"/>
    <w:rsid w:val="00601116"/>
    <w:rsid w:val="006079E3"/>
    <w:rsid w:val="00666CD1"/>
    <w:rsid w:val="00677AC5"/>
    <w:rsid w:val="00680F61"/>
    <w:rsid w:val="00681FAE"/>
    <w:rsid w:val="006B2250"/>
    <w:rsid w:val="006B3E95"/>
    <w:rsid w:val="006C166F"/>
    <w:rsid w:val="006D2130"/>
    <w:rsid w:val="006E3B2F"/>
    <w:rsid w:val="006F708F"/>
    <w:rsid w:val="007156B7"/>
    <w:rsid w:val="00725CE1"/>
    <w:rsid w:val="007445F3"/>
    <w:rsid w:val="00744FB4"/>
    <w:rsid w:val="00746179"/>
    <w:rsid w:val="00763798"/>
    <w:rsid w:val="00776DA7"/>
    <w:rsid w:val="007811D1"/>
    <w:rsid w:val="007D2D44"/>
    <w:rsid w:val="007F6F6E"/>
    <w:rsid w:val="00813FAA"/>
    <w:rsid w:val="00822F3B"/>
    <w:rsid w:val="00944D46"/>
    <w:rsid w:val="00971AE9"/>
    <w:rsid w:val="00996021"/>
    <w:rsid w:val="009C43A3"/>
    <w:rsid w:val="009C59D0"/>
    <w:rsid w:val="00A324E2"/>
    <w:rsid w:val="00A93129"/>
    <w:rsid w:val="00A97A9E"/>
    <w:rsid w:val="00AF5D7C"/>
    <w:rsid w:val="00B62556"/>
    <w:rsid w:val="00B865C6"/>
    <w:rsid w:val="00B866DD"/>
    <w:rsid w:val="00BB3007"/>
    <w:rsid w:val="00BE2E4F"/>
    <w:rsid w:val="00BE68AA"/>
    <w:rsid w:val="00C213DC"/>
    <w:rsid w:val="00C23011"/>
    <w:rsid w:val="00C26C99"/>
    <w:rsid w:val="00C63FF7"/>
    <w:rsid w:val="00C70A5E"/>
    <w:rsid w:val="00C72F7C"/>
    <w:rsid w:val="00C82BC6"/>
    <w:rsid w:val="00C853ED"/>
    <w:rsid w:val="00C95AC3"/>
    <w:rsid w:val="00D11150"/>
    <w:rsid w:val="00D26823"/>
    <w:rsid w:val="00D371E9"/>
    <w:rsid w:val="00DE4768"/>
    <w:rsid w:val="00DF037E"/>
    <w:rsid w:val="00E07AFA"/>
    <w:rsid w:val="00E15B5A"/>
    <w:rsid w:val="00E53763"/>
    <w:rsid w:val="00E77F47"/>
    <w:rsid w:val="00EA44FC"/>
    <w:rsid w:val="00ED6C3D"/>
    <w:rsid w:val="00F4224B"/>
    <w:rsid w:val="00F436FE"/>
    <w:rsid w:val="00F828FD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90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690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096690"/>
    <w:rPr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096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96690"/>
    <w:rPr>
      <w:color w:val="000000"/>
      <w:sz w:val="24"/>
      <w:szCs w:val="24"/>
      <w:lang w:val="en-AU" w:eastAsia="en-AU" w:bidi="ar-SA"/>
    </w:rPr>
  </w:style>
  <w:style w:type="paragraph" w:customStyle="1" w:styleId="CharChar3CharCharCharCharCharChar">
    <w:name w:val="Char Char3 Char Char Char Char Char Char"/>
    <w:basedOn w:val="Normal"/>
    <w:rsid w:val="00096690"/>
    <w:pPr>
      <w:spacing w:after="160" w:line="240" w:lineRule="exac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MRBullet">
    <w:name w:val="MR_Bullet"/>
    <w:basedOn w:val="Normal"/>
    <w:rsid w:val="00237B5D"/>
    <w:pPr>
      <w:keepLines/>
      <w:numPr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2">
    <w:name w:val="MR_Bullet2"/>
    <w:basedOn w:val="Normal"/>
    <w:rsid w:val="00237B5D"/>
    <w:pPr>
      <w:keepLines/>
      <w:numPr>
        <w:ilvl w:val="1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3">
    <w:name w:val="MR_Bullet3"/>
    <w:basedOn w:val="Normal"/>
    <w:rsid w:val="00237B5D"/>
    <w:pPr>
      <w:keepLines/>
      <w:numPr>
        <w:ilvl w:val="2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CharCharCharChar">
    <w:name w:val="Char Char Char Char"/>
    <w:basedOn w:val="Normal"/>
    <w:rsid w:val="00B865C6"/>
    <w:rPr>
      <w:rFonts w:cs="Arial"/>
      <w:b/>
      <w:color w:val="auto"/>
      <w:lang w:eastAsia="en-US"/>
    </w:rPr>
  </w:style>
  <w:style w:type="paragraph" w:customStyle="1" w:styleId="PortfolioBullet">
    <w:name w:val="Portfolio_Bullet"/>
    <w:basedOn w:val="Normal"/>
    <w:rsid w:val="00034B86"/>
    <w:pPr>
      <w:keepLines/>
      <w:spacing w:after="240"/>
      <w:jc w:val="both"/>
    </w:pPr>
    <w:rPr>
      <w:rFonts w:ascii="Arial" w:hAnsi="Arial"/>
      <w:color w:val="aut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53BF2"/>
    <w:pPr>
      <w:ind w:left="720"/>
    </w:pPr>
  </w:style>
  <w:style w:type="paragraph" w:customStyle="1" w:styleId="CharCharChar">
    <w:name w:val="Char Char Char"/>
    <w:basedOn w:val="Normal"/>
    <w:rsid w:val="00253BF2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5E3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7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-%20Approval%20of%20Development%20Schemes%20for%20Blackwater%20and%20Moranbah%20Urban%20Development%20Areas%20-%20Moranba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Approval%20of%20Development%20Schemes%20for%20Blackwater%20and%20Moranbah%20Urban%20Development%20Areas%20-%20Blackwat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954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>https://www.cabinet.qld.gov.au/documents/2011/Jul/UDAs Blackwater Moranbah/</HyperlinkBase>
  <HLinks>
    <vt:vector size="12" baseType="variant"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Attachments/Att 2 - Approval of Development Schemes for Blackwater and Moranbah Urban Development Areas - Moranbah.PDF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Attachments/Att 1 - Approval of Development Schemes for Blackwater and Moranbah Urban Development Areas - Blackwater.PDF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2011-12-02T00:09:00Z</cp:lastPrinted>
  <dcterms:created xsi:type="dcterms:W3CDTF">2017-10-24T23:06:00Z</dcterms:created>
  <dcterms:modified xsi:type="dcterms:W3CDTF">2018-03-06T01:08:00Z</dcterms:modified>
  <cp:category>Planning,Urban_Planning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